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06" w:rsidRDefault="003E5975">
      <w:bookmarkStart w:id="0" w:name="_GoBack"/>
      <w:bookmarkEnd w:id="0"/>
      <w:r>
        <w:rPr>
          <w:noProof/>
        </w:rPr>
        <w:drawing>
          <wp:inline distT="0" distB="0" distL="0" distR="0" wp14:anchorId="7F9E73D6" wp14:editId="18E06826">
            <wp:extent cx="9580714" cy="3919855"/>
            <wp:effectExtent l="0" t="0" r="8255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8DDACC8-9714-864E-A29D-6CBF748B6F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B5C06" w:rsidSect="003E59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75"/>
    <w:rsid w:val="003E5975"/>
    <w:rsid w:val="00803C35"/>
    <w:rsid w:val="00852CFF"/>
    <w:rsid w:val="00E61D22"/>
    <w:rsid w:val="00E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31AA3B0-69EB-AC43-8F18-9208D2AE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onikanalepa/Dropbox/CPESPecialIssue/R&amp;R/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1: Net Cummulative</a:t>
            </a:r>
            <a:r>
              <a:rPr lang="en-US" baseline="0"/>
              <a:t> Purge and Lustration events of the judiciary in 6 Post-Communist Countries</a:t>
            </a:r>
            <a:endParaRPr lang="en-US"/>
          </a:p>
        </c:rich>
      </c:tx>
      <c:layout>
        <c:manualLayout>
          <c:xMode val="edge"/>
          <c:yMode val="edge"/>
          <c:x val="0.11172532643998144"/>
          <c:y val="2.2679410335331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8402775711894634E-2"/>
          <c:y val="0.11692855985744371"/>
          <c:w val="0.95364335672000033"/>
          <c:h val="0.73055763542273888"/>
        </c:manualLayout>
      </c:layout>
      <c:lineChart>
        <c:grouping val="standard"/>
        <c:varyColors val="0"/>
        <c:ser>
          <c:idx val="1"/>
          <c:order val="0"/>
          <c:tx>
            <c:strRef>
              <c:f>Sheet1!$A$101</c:f>
              <c:strCache>
                <c:ptCount val="1"/>
                <c:pt idx="0">
                  <c:v>Bulgaria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Sheet1!$D$100:$AB$100</c:f>
              <c:numCache>
                <c:formatCode>General</c:formatCode>
                <c:ptCount val="25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cat>
          <c:val>
            <c:numRef>
              <c:f>Sheet1!$D$101:$AB$101</c:f>
              <c:numCache>
                <c:formatCode>General</c:formatCode>
                <c:ptCount val="2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AE-3544-B94E-233EA2968CA8}"/>
            </c:ext>
          </c:extLst>
        </c:ser>
        <c:ser>
          <c:idx val="2"/>
          <c:order val="1"/>
          <c:tx>
            <c:strRef>
              <c:f>Sheet1!$A$102</c:f>
              <c:strCache>
                <c:ptCount val="1"/>
                <c:pt idx="0">
                  <c:v>Romania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Sheet1!$D$100:$AB$100</c:f>
              <c:numCache>
                <c:formatCode>General</c:formatCode>
                <c:ptCount val="25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cat>
          <c:val>
            <c:numRef>
              <c:f>Sheet1!$D$102:$AB$102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AE-3544-B94E-233EA2968CA8}"/>
            </c:ext>
          </c:extLst>
        </c:ser>
        <c:ser>
          <c:idx val="3"/>
          <c:order val="2"/>
          <c:tx>
            <c:strRef>
              <c:f>Sheet1!$A$103</c:f>
              <c:strCache>
                <c:ptCount val="1"/>
                <c:pt idx="0">
                  <c:v>East Germany 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Sheet1!$D$100:$AB$100</c:f>
              <c:numCache>
                <c:formatCode>General</c:formatCode>
                <c:ptCount val="25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cat>
          <c:val>
            <c:numRef>
              <c:f>Sheet1!$D$103:$AB$103</c:f>
              <c:numCache>
                <c:formatCode>General</c:formatCode>
                <c:ptCount val="2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5</c:v>
                </c:pt>
                <c:pt idx="13">
                  <c:v>6</c:v>
                </c:pt>
                <c:pt idx="14">
                  <c:v>6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4AE-3544-B94E-233EA2968CA8}"/>
            </c:ext>
          </c:extLst>
        </c:ser>
        <c:ser>
          <c:idx val="4"/>
          <c:order val="3"/>
          <c:tx>
            <c:strRef>
              <c:f>Sheet1!$A$104</c:f>
              <c:strCache>
                <c:ptCount val="1"/>
                <c:pt idx="0">
                  <c:v>Hungary 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Sheet1!$D$100:$AB$100</c:f>
              <c:numCache>
                <c:formatCode>General</c:formatCode>
                <c:ptCount val="25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cat>
          <c:val>
            <c:numRef>
              <c:f>Sheet1!$D$104:$AB$104</c:f>
              <c:numCache>
                <c:formatCode>General</c:formatCode>
                <c:ptCount val="2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8</c:v>
                </c:pt>
                <c:pt idx="12">
                  <c:v>8</c:v>
                </c:pt>
                <c:pt idx="13">
                  <c:v>8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4AE-3544-B94E-233EA2968CA8}"/>
            </c:ext>
          </c:extLst>
        </c:ser>
        <c:ser>
          <c:idx val="5"/>
          <c:order val="4"/>
          <c:tx>
            <c:strRef>
              <c:f>Sheet1!$A$105</c:f>
              <c:strCache>
                <c:ptCount val="1"/>
                <c:pt idx="0">
                  <c:v>Czechoslovakia 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Sheet1!$D$100:$AB$100</c:f>
              <c:numCache>
                <c:formatCode>General</c:formatCode>
                <c:ptCount val="25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cat>
          <c:val>
            <c:numRef>
              <c:f>Sheet1!$D$105:$AB$105</c:f>
              <c:numCache>
                <c:formatCode>General</c:formatCode>
                <c:ptCount val="2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13</c:v>
                </c:pt>
                <c:pt idx="10">
                  <c:v>13</c:v>
                </c:pt>
                <c:pt idx="11">
                  <c:v>15</c:v>
                </c:pt>
                <c:pt idx="12">
                  <c:v>16</c:v>
                </c:pt>
                <c:pt idx="13">
                  <c:v>16</c:v>
                </c:pt>
                <c:pt idx="14">
                  <c:v>17</c:v>
                </c:pt>
                <c:pt idx="15">
                  <c:v>17</c:v>
                </c:pt>
                <c:pt idx="16">
                  <c:v>17</c:v>
                </c:pt>
                <c:pt idx="17">
                  <c:v>17</c:v>
                </c:pt>
                <c:pt idx="18">
                  <c:v>17</c:v>
                </c:pt>
                <c:pt idx="19">
                  <c:v>17</c:v>
                </c:pt>
                <c:pt idx="20">
                  <c:v>17</c:v>
                </c:pt>
                <c:pt idx="21">
                  <c:v>17</c:v>
                </c:pt>
                <c:pt idx="22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4AE-3544-B94E-233EA2968CA8}"/>
            </c:ext>
          </c:extLst>
        </c:ser>
        <c:ser>
          <c:idx val="6"/>
          <c:order val="5"/>
          <c:tx>
            <c:strRef>
              <c:f>Sheet1!$A$106</c:f>
              <c:strCache>
                <c:ptCount val="1"/>
                <c:pt idx="0">
                  <c:v>Poland 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Sheet1!$D$100:$AB$100</c:f>
              <c:numCache>
                <c:formatCode>General</c:formatCode>
                <c:ptCount val="25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  <c:pt idx="22">
                  <c:v>2013</c:v>
                </c:pt>
              </c:numCache>
            </c:numRef>
          </c:cat>
          <c:val>
            <c:numRef>
              <c:f>Sheet1!$D$106:$AB$106</c:f>
              <c:numCache>
                <c:formatCode>General</c:formatCode>
                <c:ptCount val="25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4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4AE-3544-B94E-233EA2968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679888"/>
        <c:axId val="2044240512"/>
      </c:lineChart>
      <c:catAx>
        <c:axId val="206167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4240512"/>
        <c:crosses val="autoZero"/>
        <c:auto val="1"/>
        <c:lblAlgn val="ctr"/>
        <c:lblOffset val="100"/>
        <c:noMultiLvlLbl val="0"/>
      </c:catAx>
      <c:valAx>
        <c:axId val="2044240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61679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Nalepa</dc:creator>
  <cp:keywords/>
  <dc:description/>
  <cp:lastModifiedBy>Monika Nalepa</cp:lastModifiedBy>
  <cp:revision>1</cp:revision>
  <dcterms:created xsi:type="dcterms:W3CDTF">2019-12-29T03:11:00Z</dcterms:created>
  <dcterms:modified xsi:type="dcterms:W3CDTF">2019-12-29T03:15:00Z</dcterms:modified>
</cp:coreProperties>
</file>